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0"/>
        <w:gridCol w:w="7229"/>
        <w:tblGridChange w:id="0">
          <w:tblGrid>
            <w:gridCol w:w="2860"/>
            <w:gridCol w:w="7229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gridCol w:w="1980"/>
        <w:gridCol w:w="1845"/>
        <w:tblGridChange w:id="0">
          <w:tblGrid>
            <w:gridCol w:w="6240"/>
            <w:gridCol w:w="1980"/>
            <w:gridCol w:w="1845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3(üç)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0" w:right="719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Uluslararası Ticaret ve Lojistik Bölüm Başkanlığı’na sevk edilir. Uluslararası Ticaret ve Lojistik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Yönetim Kuruluna sevk edilir.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sistem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Ön lisans ve Lisan</w:t>
              </w:r>
            </w:hyperlink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cmspanel.yeniyuzyil.edu.tr/uploaded/files/iYYu-on-Lisans-ve-Lisans-Egitim-ogretim-ve-Sinav-Yonetmeligi.pdf?v=638748030723302253" TargetMode="Externa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C7PTIL7HELfI2gydZjlqEh6j8Q==">CgMxLjA4AHIhMUduS3M5RGs4N195ZzVOV083Vm1kRGYyd0REeEVXRTVE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